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B6E18" w14:textId="77777777" w:rsidR="00C23AB3" w:rsidRDefault="00D03C20" w:rsidP="00623C35">
      <w:pPr>
        <w:spacing w:line="360" w:lineRule="auto"/>
        <w:rPr>
          <w:sz w:val="28"/>
          <w:szCs w:val="28"/>
        </w:rPr>
      </w:pPr>
      <w:r w:rsidRPr="00623C35">
        <w:rPr>
          <w:rFonts w:ascii="黑体" w:eastAsia="黑体" w:hint="eastAsia"/>
          <w:sz w:val="32"/>
          <w:szCs w:val="32"/>
        </w:rPr>
        <w:t>附</w:t>
      </w:r>
      <w:r w:rsidR="00623C35" w:rsidRPr="00623C35">
        <w:rPr>
          <w:rFonts w:ascii="黑体" w:eastAsia="黑体" w:hint="eastAsia"/>
          <w:sz w:val="32"/>
          <w:szCs w:val="32"/>
        </w:rPr>
        <w:t>件</w:t>
      </w:r>
      <w:r w:rsidRPr="00623C35">
        <w:rPr>
          <w:rFonts w:ascii="黑体" w:eastAsia="黑体" w:hint="eastAsia"/>
          <w:sz w:val="32"/>
          <w:szCs w:val="32"/>
        </w:rPr>
        <w:t>1</w:t>
      </w:r>
      <w:r w:rsidRPr="0053353F">
        <w:rPr>
          <w:sz w:val="28"/>
          <w:szCs w:val="28"/>
        </w:rPr>
        <w:t xml:space="preserve">   </w:t>
      </w:r>
      <w:r w:rsidR="00623C35">
        <w:rPr>
          <w:rFonts w:hint="eastAsia"/>
          <w:sz w:val="28"/>
          <w:szCs w:val="28"/>
        </w:rPr>
        <w:t xml:space="preserve">        </w:t>
      </w:r>
    </w:p>
    <w:p w14:paraId="70E8A447" w14:textId="48BB3A40" w:rsidR="00D03C20" w:rsidRPr="0053353F" w:rsidRDefault="00623C35" w:rsidP="00C23AB3">
      <w:pPr>
        <w:adjustRightInd w:val="0"/>
        <w:snapToGrid w:val="0"/>
        <w:spacing w:afterLines="50" w:after="156" w:line="600" w:lineRule="exact"/>
        <w:jc w:val="center"/>
        <w:rPr>
          <w:color w:val="000000" w:themeColor="text1"/>
          <w:sz w:val="28"/>
          <w:szCs w:val="28"/>
        </w:rPr>
      </w:pPr>
      <w:r w:rsidRPr="00623C35">
        <w:rPr>
          <w:rFonts w:ascii="方正小标宋简体" w:eastAsia="方正小标宋简体" w:hint="eastAsia"/>
          <w:color w:val="000000" w:themeColor="text1"/>
          <w:sz w:val="44"/>
          <w:szCs w:val="44"/>
        </w:rPr>
        <w:t>校内</w:t>
      </w:r>
      <w:r w:rsidR="00D03C20" w:rsidRPr="00623C35">
        <w:rPr>
          <w:rFonts w:ascii="方正小标宋简体" w:eastAsia="方正小标宋简体" w:hint="eastAsia"/>
          <w:color w:val="000000" w:themeColor="text1"/>
          <w:sz w:val="44"/>
          <w:szCs w:val="44"/>
        </w:rPr>
        <w:t>相关职能部处分工</w:t>
      </w:r>
    </w:p>
    <w:tbl>
      <w:tblPr>
        <w:tblStyle w:val="a9"/>
        <w:tblW w:w="9362" w:type="dxa"/>
        <w:jc w:val="center"/>
        <w:tblLook w:val="04A0" w:firstRow="1" w:lastRow="0" w:firstColumn="1" w:lastColumn="0" w:noHBand="0" w:noVBand="1"/>
      </w:tblPr>
      <w:tblGrid>
        <w:gridCol w:w="1696"/>
        <w:gridCol w:w="7666"/>
      </w:tblGrid>
      <w:tr w:rsidR="00D03C20" w:rsidRPr="0053353F" w14:paraId="7691150A" w14:textId="77777777" w:rsidTr="00720BF7">
        <w:trPr>
          <w:trHeight w:val="315"/>
          <w:jc w:val="center"/>
        </w:trPr>
        <w:tc>
          <w:tcPr>
            <w:tcW w:w="1696" w:type="dxa"/>
            <w:vAlign w:val="center"/>
          </w:tcPr>
          <w:p w14:paraId="27F33AC5" w14:textId="77777777" w:rsidR="00D03C20" w:rsidRPr="00C23AB3" w:rsidRDefault="00D03C20" w:rsidP="00C23AB3">
            <w:pPr>
              <w:jc w:val="center"/>
              <w:rPr>
                <w:b/>
              </w:rPr>
            </w:pPr>
            <w:r w:rsidRPr="00C23AB3">
              <w:rPr>
                <w:rFonts w:hint="eastAsia"/>
                <w:b/>
              </w:rPr>
              <w:t>职能部处</w:t>
            </w:r>
          </w:p>
        </w:tc>
        <w:tc>
          <w:tcPr>
            <w:tcW w:w="7666" w:type="dxa"/>
            <w:vAlign w:val="center"/>
          </w:tcPr>
          <w:p w14:paraId="39225E86" w14:textId="77777777" w:rsidR="00D03C20" w:rsidRPr="00C23AB3" w:rsidRDefault="00D03C20" w:rsidP="00C23AB3">
            <w:pPr>
              <w:jc w:val="center"/>
              <w:rPr>
                <w:b/>
              </w:rPr>
            </w:pPr>
            <w:r w:rsidRPr="00C23AB3">
              <w:rPr>
                <w:rFonts w:hint="eastAsia"/>
                <w:b/>
              </w:rPr>
              <w:t>工作职责</w:t>
            </w:r>
          </w:p>
        </w:tc>
      </w:tr>
      <w:tr w:rsidR="00D03C20" w:rsidRPr="0053353F" w14:paraId="3BC29B7D" w14:textId="77777777" w:rsidTr="00BE2BF6">
        <w:trPr>
          <w:trHeight w:val="1230"/>
          <w:jc w:val="center"/>
        </w:trPr>
        <w:tc>
          <w:tcPr>
            <w:tcW w:w="1696" w:type="dxa"/>
            <w:vAlign w:val="center"/>
          </w:tcPr>
          <w:p w14:paraId="36E12315" w14:textId="77777777" w:rsidR="00D03C20" w:rsidRPr="0053353F" w:rsidRDefault="00D03C20" w:rsidP="00623C35">
            <w:pPr>
              <w:jc w:val="center"/>
              <w:rPr>
                <w:color w:val="000000" w:themeColor="text1"/>
              </w:rPr>
            </w:pPr>
            <w:r w:rsidRPr="0053353F">
              <w:rPr>
                <w:rFonts w:hint="eastAsia"/>
              </w:rPr>
              <w:t>保卫处</w:t>
            </w:r>
          </w:p>
        </w:tc>
        <w:tc>
          <w:tcPr>
            <w:tcW w:w="7666" w:type="dxa"/>
            <w:vAlign w:val="center"/>
          </w:tcPr>
          <w:p w14:paraId="760BBF9B" w14:textId="5FDA7AB6" w:rsidR="00D03C20" w:rsidRPr="0053353F" w:rsidRDefault="00D03C20" w:rsidP="009F1214">
            <w:pPr>
              <w:rPr>
                <w:color w:val="000000" w:themeColor="text1"/>
              </w:rPr>
            </w:pPr>
            <w:r w:rsidRPr="0053353F">
              <w:t>负责</w:t>
            </w:r>
            <w:r w:rsidRPr="0053353F">
              <w:rPr>
                <w:rFonts w:hint="eastAsia"/>
              </w:rPr>
              <w:t>全校</w:t>
            </w:r>
            <w:r w:rsidRPr="0053353F">
              <w:t>安全的监督管理、组织落实、事故处理等工作。</w:t>
            </w:r>
            <w:r w:rsidRPr="0053353F">
              <w:rPr>
                <w:rFonts w:hint="eastAsia"/>
              </w:rPr>
              <w:t>负责监督管理全校实验室的消防、治安安全；会同实验室及设备</w:t>
            </w:r>
            <w:r w:rsidRPr="0053353F">
              <w:t>管理处</w:t>
            </w:r>
            <w:r w:rsidRPr="0053353F">
              <w:rPr>
                <w:rFonts w:hint="eastAsia"/>
              </w:rPr>
              <w:t>做好实验室安全检查、实验室危险废物处置等工作；发生实验室安全事故时，负责</w:t>
            </w:r>
            <w:r w:rsidR="000901B2" w:rsidRPr="0053353F">
              <w:rPr>
                <w:rFonts w:hint="eastAsia"/>
              </w:rPr>
              <w:t>现场</w:t>
            </w:r>
            <w:r w:rsidRPr="0053353F">
              <w:rPr>
                <w:rFonts w:hint="eastAsia"/>
              </w:rPr>
              <w:t>保护，</w:t>
            </w:r>
            <w:r w:rsidR="009F1214">
              <w:rPr>
                <w:rFonts w:hint="eastAsia"/>
              </w:rPr>
              <w:t>协助</w:t>
            </w:r>
            <w:r w:rsidRPr="0053353F">
              <w:rPr>
                <w:rFonts w:hint="eastAsia"/>
              </w:rPr>
              <w:t>现场处理和事故调查等工作。</w:t>
            </w:r>
          </w:p>
        </w:tc>
      </w:tr>
      <w:tr w:rsidR="00D03C20" w:rsidRPr="0053353F" w14:paraId="29F531B0" w14:textId="77777777" w:rsidTr="00BE2BF6">
        <w:trPr>
          <w:trHeight w:val="945"/>
          <w:jc w:val="center"/>
        </w:trPr>
        <w:tc>
          <w:tcPr>
            <w:tcW w:w="1696" w:type="dxa"/>
            <w:vAlign w:val="center"/>
          </w:tcPr>
          <w:p w14:paraId="33D3DFC1" w14:textId="37C51003" w:rsidR="00D03C20" w:rsidRPr="0053353F" w:rsidRDefault="00D03C20" w:rsidP="00623C35">
            <w:pPr>
              <w:jc w:val="center"/>
              <w:rPr>
                <w:color w:val="000000" w:themeColor="text1"/>
              </w:rPr>
            </w:pPr>
            <w:r w:rsidRPr="0053353F">
              <w:rPr>
                <w:rFonts w:hint="eastAsia"/>
              </w:rPr>
              <w:t>校</w:t>
            </w:r>
            <w:r w:rsidR="00C23AB3">
              <w:rPr>
                <w:rFonts w:hint="eastAsia"/>
              </w:rPr>
              <w:t xml:space="preserve">  </w:t>
            </w:r>
            <w:r w:rsidRPr="0053353F">
              <w:rPr>
                <w:rFonts w:hint="eastAsia"/>
              </w:rPr>
              <w:t>办</w:t>
            </w:r>
          </w:p>
        </w:tc>
        <w:tc>
          <w:tcPr>
            <w:tcW w:w="7666" w:type="dxa"/>
            <w:vAlign w:val="center"/>
          </w:tcPr>
          <w:p w14:paraId="623BC4AE" w14:textId="77777777" w:rsidR="00D03C20" w:rsidRPr="0053353F" w:rsidRDefault="00D03C20" w:rsidP="00623C35">
            <w:pPr>
              <w:rPr>
                <w:color w:val="000000" w:themeColor="text1"/>
              </w:rPr>
            </w:pPr>
            <w:r w:rsidRPr="0053353F">
              <w:t>负责</w:t>
            </w:r>
            <w:r w:rsidRPr="0053353F">
              <w:rPr>
                <w:rFonts w:hint="eastAsia"/>
              </w:rPr>
              <w:t>及时</w:t>
            </w:r>
            <w:r w:rsidRPr="0053353F">
              <w:t>批转下发上级有关实验室安全的文件，</w:t>
            </w:r>
            <w:r w:rsidRPr="0053353F">
              <w:rPr>
                <w:rFonts w:hint="eastAsia"/>
              </w:rPr>
              <w:t>并组织协调相关</w:t>
            </w:r>
            <w:r w:rsidRPr="0053353F">
              <w:t>职能部</w:t>
            </w:r>
            <w:proofErr w:type="gramStart"/>
            <w:r w:rsidRPr="0053353F">
              <w:t>处完成</w:t>
            </w:r>
            <w:proofErr w:type="gramEnd"/>
            <w:r w:rsidRPr="0053353F">
              <w:rPr>
                <w:rFonts w:hint="eastAsia"/>
              </w:rPr>
              <w:t>相应</w:t>
            </w:r>
            <w:r w:rsidRPr="0053353F">
              <w:t>的实验室安全工作</w:t>
            </w:r>
            <w:r w:rsidRPr="0053353F">
              <w:rPr>
                <w:rFonts w:hint="eastAsia"/>
              </w:rPr>
              <w:t>，</w:t>
            </w:r>
            <w:r w:rsidRPr="0053353F">
              <w:t>督促检查承办情况，及时向上级有关部门呈报实验室安全相关工作报告</w:t>
            </w:r>
            <w:r w:rsidRPr="0053353F">
              <w:rPr>
                <w:rFonts w:hint="eastAsia"/>
              </w:rPr>
              <w:t>。</w:t>
            </w:r>
          </w:p>
        </w:tc>
      </w:tr>
      <w:tr w:rsidR="00D03C20" w:rsidRPr="0053353F" w14:paraId="5FAD95DE" w14:textId="77777777" w:rsidTr="00BE2BF6">
        <w:trPr>
          <w:trHeight w:val="615"/>
          <w:jc w:val="center"/>
        </w:trPr>
        <w:tc>
          <w:tcPr>
            <w:tcW w:w="1696" w:type="dxa"/>
            <w:vAlign w:val="center"/>
          </w:tcPr>
          <w:p w14:paraId="3E7FE4AF" w14:textId="77777777" w:rsidR="00D03C20" w:rsidRPr="0053353F" w:rsidRDefault="00D03C20" w:rsidP="00623C35">
            <w:pPr>
              <w:jc w:val="center"/>
              <w:rPr>
                <w:color w:val="000000" w:themeColor="text1"/>
              </w:rPr>
            </w:pPr>
            <w:r w:rsidRPr="0053353F">
              <w:rPr>
                <w:rFonts w:hint="eastAsia"/>
                <w:color w:val="000000" w:themeColor="text1"/>
              </w:rPr>
              <w:t>财务处</w:t>
            </w:r>
          </w:p>
        </w:tc>
        <w:tc>
          <w:tcPr>
            <w:tcW w:w="7666" w:type="dxa"/>
            <w:vAlign w:val="center"/>
          </w:tcPr>
          <w:p w14:paraId="4B74ECCF" w14:textId="77777777" w:rsidR="00D03C20" w:rsidRPr="0053353F" w:rsidRDefault="00D03C20" w:rsidP="00623C35">
            <w:pPr>
              <w:rPr>
                <w:color w:val="000000" w:themeColor="text1"/>
              </w:rPr>
            </w:pPr>
            <w:r w:rsidRPr="0053353F">
              <w:rPr>
                <w:rFonts w:hint="eastAsia"/>
                <w:color w:val="000000" w:themeColor="text1"/>
              </w:rPr>
              <w:t>根据国家和上级规定，将实验室安全相关工作所必需的运行经费纳入年度预算，并监督专款专用。</w:t>
            </w:r>
          </w:p>
        </w:tc>
      </w:tr>
      <w:tr w:rsidR="00D03C20" w:rsidRPr="0053353F" w14:paraId="335D74CE" w14:textId="77777777" w:rsidTr="00BE2BF6">
        <w:trPr>
          <w:trHeight w:val="2267"/>
          <w:jc w:val="center"/>
        </w:trPr>
        <w:tc>
          <w:tcPr>
            <w:tcW w:w="1696" w:type="dxa"/>
            <w:vAlign w:val="center"/>
          </w:tcPr>
          <w:p w14:paraId="215B493B" w14:textId="77777777" w:rsidR="00D03C20" w:rsidRPr="0053353F" w:rsidRDefault="00D03C20" w:rsidP="00623C35">
            <w:pPr>
              <w:jc w:val="center"/>
              <w:rPr>
                <w:color w:val="000000" w:themeColor="text1"/>
              </w:rPr>
            </w:pPr>
            <w:r w:rsidRPr="0053353F">
              <w:rPr>
                <w:rFonts w:hint="eastAsia"/>
                <w:color w:val="000000" w:themeColor="text1"/>
              </w:rPr>
              <w:t>设备处</w:t>
            </w:r>
          </w:p>
        </w:tc>
        <w:tc>
          <w:tcPr>
            <w:tcW w:w="7666" w:type="dxa"/>
            <w:vAlign w:val="center"/>
          </w:tcPr>
          <w:p w14:paraId="46151F45" w14:textId="77777777" w:rsidR="00D03C20" w:rsidRPr="0053353F" w:rsidRDefault="00D03C20" w:rsidP="00623C35">
            <w:pPr>
              <w:rPr>
                <w:color w:val="000000" w:themeColor="text1"/>
              </w:rPr>
            </w:pPr>
            <w:r w:rsidRPr="0053353F">
              <w:rPr>
                <w:rFonts w:hint="eastAsia"/>
                <w:color w:val="000000" w:themeColor="text1"/>
              </w:rPr>
              <w:t>负责实验室安全文化建设，指导、督查、协调各相关单位做好实验室安全教育及培训；负责制定、完善有关实验室安全的校级规章制度；及时发布或传达上级部门的有关文件；指导、督查、协调各相关单位实验室的化学、辐射、生物、设备安全管理工作；定期、不定期组织或参与实验室安全检查，并将发现的问题及时通知有关单位，或通报有关职能部门，督促安全隐患的整改，必要时报学校实验室技术安全工作委员会研究决策；配合保卫处及相关政府职能部门进行实验室安全事故调查与处罚等工作；组织开展校内实验室危险废弃物处置；组织开展全校实验室安全工作年度考核。</w:t>
            </w:r>
          </w:p>
        </w:tc>
      </w:tr>
      <w:tr w:rsidR="00D03C20" w:rsidRPr="0053353F" w14:paraId="69598190" w14:textId="77777777" w:rsidTr="00BE2BF6">
        <w:trPr>
          <w:trHeight w:val="1560"/>
          <w:jc w:val="center"/>
        </w:trPr>
        <w:tc>
          <w:tcPr>
            <w:tcW w:w="1696" w:type="dxa"/>
            <w:vAlign w:val="center"/>
          </w:tcPr>
          <w:p w14:paraId="2356DB67" w14:textId="77777777" w:rsidR="00D03C20" w:rsidRPr="0053353F" w:rsidRDefault="00D03C20" w:rsidP="00623C35">
            <w:pPr>
              <w:jc w:val="center"/>
              <w:rPr>
                <w:color w:val="000000" w:themeColor="text1"/>
              </w:rPr>
            </w:pPr>
            <w:r w:rsidRPr="0053353F">
              <w:rPr>
                <w:rFonts w:hint="eastAsia"/>
                <w:color w:val="000000" w:themeColor="text1"/>
              </w:rPr>
              <w:t>科技处</w:t>
            </w:r>
          </w:p>
        </w:tc>
        <w:tc>
          <w:tcPr>
            <w:tcW w:w="7666" w:type="dxa"/>
            <w:vAlign w:val="center"/>
          </w:tcPr>
          <w:p w14:paraId="562BCCB8" w14:textId="3AD6A4F3" w:rsidR="00D03C20" w:rsidRPr="0053353F" w:rsidRDefault="00910B2D" w:rsidP="00623C35">
            <w:pPr>
              <w:rPr>
                <w:color w:val="000000" w:themeColor="text1"/>
              </w:rPr>
            </w:pPr>
            <w:r w:rsidRPr="00910B2D">
              <w:rPr>
                <w:rFonts w:hint="eastAsia"/>
                <w:color w:val="000000" w:themeColor="text1"/>
              </w:rPr>
              <w:t>强化科研项目安全风险（含实验动物伦理）管理，落实科研项目申报、立项、执行和结题全过程安全风险三级（项目申请人、学院、学校）管理模式。配合学校相关部门，督促项目申请人、学院落实科研项目立项前的安全风险评估；定期、不定期参与学院的科研项目安全风险评估论证工作，发现问题及时报学校实验室技术安全工作委员会研究决策。</w:t>
            </w:r>
          </w:p>
        </w:tc>
      </w:tr>
      <w:tr w:rsidR="00D03C20" w:rsidRPr="0053353F" w14:paraId="7AA0DBC1" w14:textId="77777777" w:rsidTr="00BE2BF6">
        <w:trPr>
          <w:trHeight w:val="1529"/>
          <w:jc w:val="center"/>
        </w:trPr>
        <w:tc>
          <w:tcPr>
            <w:tcW w:w="1696" w:type="dxa"/>
            <w:vAlign w:val="center"/>
          </w:tcPr>
          <w:p w14:paraId="29CC5F89" w14:textId="77777777" w:rsidR="00D03C20" w:rsidRPr="0053353F" w:rsidRDefault="00D03C20" w:rsidP="00623C35">
            <w:pPr>
              <w:jc w:val="center"/>
              <w:rPr>
                <w:color w:val="000000" w:themeColor="text1"/>
              </w:rPr>
            </w:pPr>
            <w:r w:rsidRPr="0053353F">
              <w:rPr>
                <w:rFonts w:hint="eastAsia"/>
                <w:color w:val="000000" w:themeColor="text1"/>
              </w:rPr>
              <w:t>教务处</w:t>
            </w:r>
          </w:p>
        </w:tc>
        <w:tc>
          <w:tcPr>
            <w:tcW w:w="7666" w:type="dxa"/>
            <w:vAlign w:val="center"/>
          </w:tcPr>
          <w:p w14:paraId="2079C5AA" w14:textId="77777777" w:rsidR="00D03C20" w:rsidRPr="0053353F" w:rsidRDefault="00D03C20" w:rsidP="00623C35">
            <w:pPr>
              <w:rPr>
                <w:color w:val="000000" w:themeColor="text1"/>
              </w:rPr>
            </w:pPr>
            <w:r w:rsidRPr="0053353F">
              <w:rPr>
                <w:rFonts w:hint="eastAsia"/>
                <w:color w:val="000000" w:themeColor="text1"/>
              </w:rPr>
              <w:t>建立本科教学实验项目的安全准入制度，积极推动和引导绿色实验项目开发。组织开展已有教学实验项目自查和梳理，对使用危险品的实验项目寻找合理替代方案，尽可能减少危险品的使用量；督促检查学院对拟开设的新实验本科项目进行安全风险评估和论证。积极推进本科学生实验室安全教育，组织学院将实验室安全教育列入相关课程，并将实验室安全教育列入教学工作考核的重要内容。</w:t>
            </w:r>
          </w:p>
        </w:tc>
      </w:tr>
      <w:tr w:rsidR="00D03C20" w:rsidRPr="0053353F" w14:paraId="7ED742A9" w14:textId="77777777" w:rsidTr="00BE2BF6">
        <w:trPr>
          <w:trHeight w:val="658"/>
          <w:jc w:val="center"/>
        </w:trPr>
        <w:tc>
          <w:tcPr>
            <w:tcW w:w="1696" w:type="dxa"/>
            <w:vAlign w:val="center"/>
          </w:tcPr>
          <w:p w14:paraId="081B6285" w14:textId="77777777" w:rsidR="00D03C20" w:rsidRPr="0053353F" w:rsidRDefault="00D03C20" w:rsidP="00623C35">
            <w:pPr>
              <w:jc w:val="center"/>
              <w:rPr>
                <w:color w:val="000000" w:themeColor="text1"/>
              </w:rPr>
            </w:pPr>
            <w:r w:rsidRPr="0053353F">
              <w:rPr>
                <w:rFonts w:hint="eastAsia"/>
                <w:color w:val="000000" w:themeColor="text1"/>
              </w:rPr>
              <w:t>基建处</w:t>
            </w:r>
          </w:p>
        </w:tc>
        <w:tc>
          <w:tcPr>
            <w:tcW w:w="7666" w:type="dxa"/>
            <w:vAlign w:val="center"/>
          </w:tcPr>
          <w:p w14:paraId="1D9F2EE8" w14:textId="5782D711" w:rsidR="00D03C20" w:rsidRPr="0053353F" w:rsidRDefault="00D03C20" w:rsidP="009F1214">
            <w:pPr>
              <w:rPr>
                <w:color w:val="000000" w:themeColor="text1"/>
              </w:rPr>
            </w:pPr>
            <w:r w:rsidRPr="0053353F">
              <w:rPr>
                <w:rFonts w:hint="eastAsia"/>
                <w:color w:val="000000" w:themeColor="text1"/>
              </w:rPr>
              <w:t>建立实验室建设项目准入制度，确保新建、扩建、改造实验场所或设施符合国家有关安全及环保规范。</w:t>
            </w:r>
          </w:p>
        </w:tc>
      </w:tr>
      <w:tr w:rsidR="00D03C20" w:rsidRPr="0053353F" w14:paraId="5334F8D5" w14:textId="77777777" w:rsidTr="00720BF7">
        <w:trPr>
          <w:trHeight w:val="323"/>
          <w:jc w:val="center"/>
        </w:trPr>
        <w:tc>
          <w:tcPr>
            <w:tcW w:w="1696" w:type="dxa"/>
            <w:vAlign w:val="center"/>
          </w:tcPr>
          <w:p w14:paraId="23253912" w14:textId="77777777" w:rsidR="00D03C20" w:rsidRPr="0053353F" w:rsidRDefault="00D03C20" w:rsidP="00623C35">
            <w:pPr>
              <w:jc w:val="center"/>
              <w:rPr>
                <w:color w:val="000000" w:themeColor="text1"/>
              </w:rPr>
            </w:pPr>
            <w:r w:rsidRPr="0053353F">
              <w:rPr>
                <w:rFonts w:hint="eastAsia"/>
              </w:rPr>
              <w:t>房管处</w:t>
            </w:r>
          </w:p>
        </w:tc>
        <w:tc>
          <w:tcPr>
            <w:tcW w:w="7666" w:type="dxa"/>
            <w:vAlign w:val="center"/>
          </w:tcPr>
          <w:p w14:paraId="660B1BC3" w14:textId="5832D4CB" w:rsidR="00D03C20" w:rsidRPr="0053353F" w:rsidRDefault="00D03C20" w:rsidP="009F1214">
            <w:pPr>
              <w:rPr>
                <w:color w:val="000000" w:themeColor="text1"/>
              </w:rPr>
            </w:pPr>
            <w:r w:rsidRPr="0053353F">
              <w:rPr>
                <w:rFonts w:hint="eastAsia"/>
              </w:rPr>
              <w:t>建立</w:t>
            </w:r>
            <w:r w:rsidRPr="0053353F">
              <w:t>实验用房安全审核制度，确保实验用房</w:t>
            </w:r>
            <w:r w:rsidR="009F1214">
              <w:rPr>
                <w:rFonts w:hint="eastAsia"/>
              </w:rPr>
              <w:t>安全使用</w:t>
            </w:r>
            <w:r w:rsidRPr="0053353F">
              <w:t>。</w:t>
            </w:r>
          </w:p>
        </w:tc>
      </w:tr>
      <w:tr w:rsidR="00D03C20" w:rsidRPr="0053353F" w14:paraId="6C0C62A7" w14:textId="77777777" w:rsidTr="00BE2BF6">
        <w:trPr>
          <w:trHeight w:val="315"/>
          <w:jc w:val="center"/>
        </w:trPr>
        <w:tc>
          <w:tcPr>
            <w:tcW w:w="1696" w:type="dxa"/>
            <w:vAlign w:val="center"/>
          </w:tcPr>
          <w:p w14:paraId="323AD9EC" w14:textId="77777777" w:rsidR="00D03C20" w:rsidRPr="0053353F" w:rsidRDefault="00D03C20" w:rsidP="00623C35">
            <w:pPr>
              <w:jc w:val="center"/>
              <w:rPr>
                <w:color w:val="000000" w:themeColor="text1"/>
              </w:rPr>
            </w:pPr>
            <w:r w:rsidRPr="0053353F">
              <w:rPr>
                <w:rFonts w:hint="eastAsia"/>
              </w:rPr>
              <w:t>后勤管理处</w:t>
            </w:r>
          </w:p>
        </w:tc>
        <w:tc>
          <w:tcPr>
            <w:tcW w:w="7666" w:type="dxa"/>
            <w:vAlign w:val="center"/>
          </w:tcPr>
          <w:p w14:paraId="16C704B5" w14:textId="77777777" w:rsidR="00D03C20" w:rsidRPr="0053353F" w:rsidRDefault="00D03C20" w:rsidP="00623C35">
            <w:pPr>
              <w:rPr>
                <w:color w:val="000000" w:themeColor="text1"/>
              </w:rPr>
            </w:pPr>
            <w:r w:rsidRPr="0053353F">
              <w:rPr>
                <w:rFonts w:hint="eastAsia"/>
              </w:rPr>
              <w:t>建立实验用房水电巡查和</w:t>
            </w:r>
            <w:r w:rsidRPr="0053353F">
              <w:t>维修</w:t>
            </w:r>
            <w:r w:rsidRPr="0053353F">
              <w:rPr>
                <w:rFonts w:hint="eastAsia"/>
              </w:rPr>
              <w:t>制度，确保实验用房的</w:t>
            </w:r>
            <w:r w:rsidRPr="0053353F">
              <w:t>水电</w:t>
            </w:r>
            <w:r w:rsidRPr="0053353F">
              <w:rPr>
                <w:rFonts w:hint="eastAsia"/>
              </w:rPr>
              <w:t>使用</w:t>
            </w:r>
            <w:r w:rsidRPr="0053353F">
              <w:t>安全。</w:t>
            </w:r>
          </w:p>
        </w:tc>
      </w:tr>
      <w:tr w:rsidR="00D03C20" w:rsidRPr="0053353F" w14:paraId="3ACC61F7" w14:textId="77777777" w:rsidTr="00BE2BF6">
        <w:trPr>
          <w:trHeight w:val="615"/>
          <w:jc w:val="center"/>
        </w:trPr>
        <w:tc>
          <w:tcPr>
            <w:tcW w:w="1696" w:type="dxa"/>
            <w:vAlign w:val="center"/>
          </w:tcPr>
          <w:p w14:paraId="323184C6" w14:textId="77777777" w:rsidR="00D03C20" w:rsidRPr="0053353F" w:rsidRDefault="00D03C20" w:rsidP="00623C35">
            <w:pPr>
              <w:jc w:val="center"/>
              <w:rPr>
                <w:color w:val="000000" w:themeColor="text1"/>
              </w:rPr>
            </w:pPr>
            <w:r w:rsidRPr="0053353F">
              <w:rPr>
                <w:rFonts w:hint="eastAsia"/>
              </w:rPr>
              <w:t>人事处</w:t>
            </w:r>
          </w:p>
        </w:tc>
        <w:tc>
          <w:tcPr>
            <w:tcW w:w="7666" w:type="dxa"/>
            <w:vAlign w:val="center"/>
          </w:tcPr>
          <w:p w14:paraId="30BF6D2F" w14:textId="5F1D9585" w:rsidR="00D03C20" w:rsidRPr="0053353F" w:rsidRDefault="00141F79" w:rsidP="00623C35">
            <w:pPr>
              <w:rPr>
                <w:color w:val="000000" w:themeColor="text1"/>
              </w:rPr>
            </w:pPr>
            <w:r>
              <w:rPr>
                <w:rFonts w:hint="eastAsia"/>
              </w:rPr>
              <w:t>配合实验</w:t>
            </w:r>
            <w:r w:rsidR="00137284">
              <w:rPr>
                <w:rFonts w:hint="eastAsia"/>
              </w:rPr>
              <w:t>室及设备管理处</w:t>
            </w:r>
            <w:r w:rsidR="00D03C20" w:rsidRPr="0053353F">
              <w:rPr>
                <w:rFonts w:hint="eastAsia"/>
              </w:rPr>
              <w:t>建立教职工实验室安全培训制度。将实验室安全培训列入教职工培训计划，并联合实验室</w:t>
            </w:r>
            <w:r w:rsidR="00D03C20" w:rsidRPr="0053353F">
              <w:t>及设备管理处</w:t>
            </w:r>
            <w:r w:rsidR="00D03C20" w:rsidRPr="0053353F">
              <w:rPr>
                <w:rFonts w:hint="eastAsia"/>
              </w:rPr>
              <w:t>做好相关培训工作。</w:t>
            </w:r>
          </w:p>
        </w:tc>
      </w:tr>
      <w:tr w:rsidR="00D03C20" w:rsidRPr="0053353F" w14:paraId="3037A58A" w14:textId="77777777" w:rsidTr="00BE2BF6">
        <w:trPr>
          <w:trHeight w:val="615"/>
          <w:jc w:val="center"/>
        </w:trPr>
        <w:tc>
          <w:tcPr>
            <w:tcW w:w="1696" w:type="dxa"/>
            <w:vAlign w:val="center"/>
          </w:tcPr>
          <w:p w14:paraId="4DD71BEB" w14:textId="43F8529D" w:rsidR="00D03C20" w:rsidRPr="0053353F" w:rsidRDefault="00D03C20" w:rsidP="00623C35">
            <w:pPr>
              <w:jc w:val="center"/>
              <w:rPr>
                <w:color w:val="000000" w:themeColor="text1"/>
              </w:rPr>
            </w:pPr>
            <w:proofErr w:type="gramStart"/>
            <w:r w:rsidRPr="0053353F">
              <w:t>研</w:t>
            </w:r>
            <w:proofErr w:type="gramEnd"/>
            <w:r w:rsidRPr="0053353F">
              <w:t>工部、学工部</w:t>
            </w:r>
            <w:r w:rsidR="00623C35">
              <w:rPr>
                <w:rFonts w:hint="eastAsia"/>
              </w:rPr>
              <w:t>、</w:t>
            </w:r>
            <w:r w:rsidR="00623C35" w:rsidRPr="0053353F">
              <w:rPr>
                <w:rFonts w:hint="eastAsia"/>
              </w:rPr>
              <w:t>团委、</w:t>
            </w:r>
          </w:p>
        </w:tc>
        <w:tc>
          <w:tcPr>
            <w:tcW w:w="7666" w:type="dxa"/>
            <w:vAlign w:val="center"/>
          </w:tcPr>
          <w:p w14:paraId="5056E262" w14:textId="77777777" w:rsidR="00D03C20" w:rsidRPr="0053353F" w:rsidRDefault="00D03C20" w:rsidP="00623C35">
            <w:pPr>
              <w:rPr>
                <w:color w:val="000000" w:themeColor="text1"/>
              </w:rPr>
            </w:pPr>
            <w:r w:rsidRPr="0053353F">
              <w:rPr>
                <w:rFonts w:hint="eastAsia"/>
              </w:rPr>
              <w:t>负责在</w:t>
            </w:r>
            <w:r w:rsidRPr="0053353F">
              <w:t>学生</w:t>
            </w:r>
            <w:r w:rsidRPr="0053353F">
              <w:rPr>
                <w:rFonts w:hint="eastAsia"/>
              </w:rPr>
              <w:t>群体</w:t>
            </w:r>
            <w:r w:rsidRPr="0053353F">
              <w:t>中组织开展实验室安全</w:t>
            </w:r>
            <w:r w:rsidRPr="0053353F">
              <w:rPr>
                <w:rFonts w:hint="eastAsia"/>
              </w:rPr>
              <w:t>知识</w:t>
            </w:r>
            <w:r w:rsidRPr="0053353F">
              <w:t>宣传与</w:t>
            </w:r>
            <w:r w:rsidRPr="0053353F">
              <w:rPr>
                <w:rFonts w:hint="eastAsia"/>
              </w:rPr>
              <w:t>推广</w:t>
            </w:r>
            <w:r w:rsidRPr="0053353F">
              <w:t>活动。</w:t>
            </w:r>
          </w:p>
        </w:tc>
      </w:tr>
      <w:tr w:rsidR="00D03C20" w:rsidRPr="0053353F" w14:paraId="1D6F7A7D" w14:textId="77777777" w:rsidTr="00421970">
        <w:trPr>
          <w:trHeight w:val="411"/>
          <w:jc w:val="center"/>
        </w:trPr>
        <w:tc>
          <w:tcPr>
            <w:tcW w:w="1696" w:type="dxa"/>
            <w:vAlign w:val="center"/>
          </w:tcPr>
          <w:p w14:paraId="61D6741A" w14:textId="77777777" w:rsidR="00D03C20" w:rsidRPr="0053353F" w:rsidRDefault="00D03C20" w:rsidP="00623C35">
            <w:pPr>
              <w:jc w:val="center"/>
              <w:rPr>
                <w:color w:val="000000" w:themeColor="text1"/>
              </w:rPr>
            </w:pPr>
            <w:r w:rsidRPr="0053353F">
              <w:rPr>
                <w:rFonts w:hint="eastAsia"/>
              </w:rPr>
              <w:t>校医院</w:t>
            </w:r>
          </w:p>
        </w:tc>
        <w:tc>
          <w:tcPr>
            <w:tcW w:w="7666" w:type="dxa"/>
            <w:vAlign w:val="center"/>
          </w:tcPr>
          <w:p w14:paraId="7B30E288" w14:textId="77777777" w:rsidR="00D03C20" w:rsidRPr="0053353F" w:rsidRDefault="00D03C20" w:rsidP="00623C35">
            <w:pPr>
              <w:rPr>
                <w:color w:val="000000" w:themeColor="text1"/>
              </w:rPr>
            </w:pPr>
            <w:r w:rsidRPr="0053353F">
              <w:rPr>
                <w:rFonts w:hint="eastAsia"/>
              </w:rPr>
              <w:t>负责</w:t>
            </w:r>
            <w:r w:rsidRPr="0053353F">
              <w:t>职业病</w:t>
            </w:r>
            <w:r w:rsidRPr="0053353F">
              <w:rPr>
                <w:rFonts w:hint="eastAsia"/>
              </w:rPr>
              <w:t>宣传</w:t>
            </w:r>
            <w:r w:rsidRPr="0053353F">
              <w:t>与防治工作和实验室安全事故中的人员抢救工作。</w:t>
            </w:r>
          </w:p>
        </w:tc>
      </w:tr>
      <w:tr w:rsidR="00D03C20" w:rsidRPr="0053353F" w14:paraId="0207D29C" w14:textId="77777777" w:rsidTr="00FA46DA">
        <w:trPr>
          <w:trHeight w:val="416"/>
          <w:jc w:val="center"/>
        </w:trPr>
        <w:tc>
          <w:tcPr>
            <w:tcW w:w="1696" w:type="dxa"/>
            <w:vAlign w:val="center"/>
          </w:tcPr>
          <w:p w14:paraId="58BAC348" w14:textId="2A5CC8B9" w:rsidR="00D03C20" w:rsidRPr="0053353F" w:rsidRDefault="00D03C20" w:rsidP="00623C35">
            <w:pPr>
              <w:jc w:val="center"/>
              <w:rPr>
                <w:color w:val="000000" w:themeColor="text1"/>
              </w:rPr>
            </w:pPr>
            <w:r w:rsidRPr="0053353F">
              <w:rPr>
                <w:rFonts w:hint="eastAsia"/>
              </w:rPr>
              <w:t>纪委</w:t>
            </w:r>
            <w:r w:rsidRPr="0053353F">
              <w:t>监察处</w:t>
            </w:r>
          </w:p>
        </w:tc>
        <w:tc>
          <w:tcPr>
            <w:tcW w:w="7666" w:type="dxa"/>
            <w:vAlign w:val="center"/>
          </w:tcPr>
          <w:p w14:paraId="0FE29200" w14:textId="11D5F026" w:rsidR="00D03C20" w:rsidRPr="0053353F" w:rsidRDefault="009F1214" w:rsidP="009F1214">
            <w:pPr>
              <w:rPr>
                <w:color w:val="000000" w:themeColor="text1"/>
              </w:rPr>
            </w:pPr>
            <w:r>
              <w:rPr>
                <w:rFonts w:hint="eastAsia"/>
              </w:rPr>
              <w:t>根据实验室运行</w:t>
            </w:r>
            <w:r>
              <w:t>和检查中出现的问题</w:t>
            </w:r>
            <w:r w:rsidR="00D03C20" w:rsidRPr="0053353F">
              <w:t>，</w:t>
            </w:r>
            <w:r w:rsidRPr="0053353F">
              <w:t>按规定</w:t>
            </w:r>
            <w:r w:rsidR="00D03C20" w:rsidRPr="0053353F">
              <w:t>对相关违规违纪人员进行处理。</w:t>
            </w:r>
          </w:p>
        </w:tc>
      </w:tr>
    </w:tbl>
    <w:p w14:paraId="31B33685" w14:textId="77777777" w:rsidR="00D03C20" w:rsidRPr="0053353F" w:rsidRDefault="00D03C20" w:rsidP="00720BF7">
      <w:pPr>
        <w:spacing w:line="360" w:lineRule="auto"/>
        <w:rPr>
          <w:rFonts w:hint="eastAsia"/>
        </w:rPr>
      </w:pPr>
      <w:bookmarkStart w:id="0" w:name="_GoBack"/>
      <w:bookmarkEnd w:id="0"/>
    </w:p>
    <w:sectPr w:rsidR="00D03C20" w:rsidRPr="0053353F" w:rsidSect="00251855">
      <w:footerReference w:type="even" r:id="rId8"/>
      <w:footerReference w:type="default" r:id="rId9"/>
      <w:pgSz w:w="11900" w:h="16840"/>
      <w:pgMar w:top="1418" w:right="1418" w:bottom="1418" w:left="1418" w:header="851" w:footer="992" w:gutter="0"/>
      <w:pgNumType w:start="1"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4CE2C" w14:textId="77777777" w:rsidR="00187560" w:rsidRDefault="00187560" w:rsidP="00F11BD7">
      <w:r>
        <w:separator/>
      </w:r>
    </w:p>
  </w:endnote>
  <w:endnote w:type="continuationSeparator" w:id="0">
    <w:p w14:paraId="30B30CB6" w14:textId="77777777" w:rsidR="00187560" w:rsidRDefault="00187560" w:rsidP="00F1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341D2" w14:textId="77777777" w:rsidR="00E74621" w:rsidRDefault="00607F51" w:rsidP="00F11BD7">
    <w:pPr>
      <w:pStyle w:val="a3"/>
      <w:framePr w:wrap="around" w:vAnchor="text" w:hAnchor="margin" w:xAlign="center" w:y="1"/>
      <w:rPr>
        <w:rStyle w:val="a4"/>
      </w:rPr>
    </w:pPr>
    <w:r>
      <w:rPr>
        <w:rStyle w:val="a4"/>
      </w:rPr>
      <w:fldChar w:fldCharType="begin"/>
    </w:r>
    <w:r w:rsidR="00E74621">
      <w:rPr>
        <w:rStyle w:val="a4"/>
      </w:rPr>
      <w:instrText xml:space="preserve">PAGE  </w:instrText>
    </w:r>
    <w:r>
      <w:rPr>
        <w:rStyle w:val="a4"/>
      </w:rPr>
      <w:fldChar w:fldCharType="end"/>
    </w:r>
  </w:p>
  <w:p w14:paraId="6940C7A4" w14:textId="77777777" w:rsidR="00E74621" w:rsidRDefault="00E7462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5074" w14:textId="61C71D16" w:rsidR="00303AFF" w:rsidRDefault="00303AFF">
    <w:pPr>
      <w:pStyle w:val="a3"/>
      <w:jc w:val="center"/>
    </w:pPr>
  </w:p>
  <w:p w14:paraId="7CD00CC1" w14:textId="77777777" w:rsidR="00E74621" w:rsidRDefault="00E746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17C88" w14:textId="77777777" w:rsidR="00187560" w:rsidRDefault="00187560" w:rsidP="00F11BD7">
      <w:r>
        <w:separator/>
      </w:r>
    </w:p>
  </w:footnote>
  <w:footnote w:type="continuationSeparator" w:id="0">
    <w:p w14:paraId="7C5713C3" w14:textId="77777777" w:rsidR="00187560" w:rsidRDefault="00187560" w:rsidP="00F11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D79AF"/>
    <w:multiLevelType w:val="hybridMultilevel"/>
    <w:tmpl w:val="42A4DF98"/>
    <w:lvl w:ilvl="0" w:tplc="CD74900A">
      <w:start w:val="1"/>
      <w:numFmt w:val="decimal"/>
      <w:lvlText w:val="（%1）"/>
      <w:lvlJc w:val="left"/>
      <w:pPr>
        <w:ind w:left="847" w:hanging="420"/>
      </w:pPr>
      <w:rPr>
        <w:rFonts w:hint="eastAsia"/>
      </w:rPr>
    </w:lvl>
    <w:lvl w:ilvl="1" w:tplc="04090019" w:tentative="1">
      <w:start w:val="1"/>
      <w:numFmt w:val="lowerLetter"/>
      <w:lvlText w:val="%2)"/>
      <w:lvlJc w:val="left"/>
      <w:pPr>
        <w:ind w:left="1267" w:hanging="420"/>
      </w:pPr>
    </w:lvl>
    <w:lvl w:ilvl="2" w:tplc="0409001B" w:tentative="1">
      <w:start w:val="1"/>
      <w:numFmt w:val="lowerRoman"/>
      <w:lvlText w:val="%3."/>
      <w:lvlJc w:val="right"/>
      <w:pPr>
        <w:ind w:left="1687" w:hanging="420"/>
      </w:pPr>
    </w:lvl>
    <w:lvl w:ilvl="3" w:tplc="0409000F" w:tentative="1">
      <w:start w:val="1"/>
      <w:numFmt w:val="decimal"/>
      <w:lvlText w:val="%4."/>
      <w:lvlJc w:val="left"/>
      <w:pPr>
        <w:ind w:left="2107" w:hanging="420"/>
      </w:pPr>
    </w:lvl>
    <w:lvl w:ilvl="4" w:tplc="04090019" w:tentative="1">
      <w:start w:val="1"/>
      <w:numFmt w:val="lowerLetter"/>
      <w:lvlText w:val="%5)"/>
      <w:lvlJc w:val="left"/>
      <w:pPr>
        <w:ind w:left="2527" w:hanging="420"/>
      </w:pPr>
    </w:lvl>
    <w:lvl w:ilvl="5" w:tplc="0409001B" w:tentative="1">
      <w:start w:val="1"/>
      <w:numFmt w:val="lowerRoman"/>
      <w:lvlText w:val="%6."/>
      <w:lvlJc w:val="right"/>
      <w:pPr>
        <w:ind w:left="2947" w:hanging="420"/>
      </w:pPr>
    </w:lvl>
    <w:lvl w:ilvl="6" w:tplc="0409000F" w:tentative="1">
      <w:start w:val="1"/>
      <w:numFmt w:val="decimal"/>
      <w:lvlText w:val="%7."/>
      <w:lvlJc w:val="left"/>
      <w:pPr>
        <w:ind w:left="3367" w:hanging="420"/>
      </w:pPr>
    </w:lvl>
    <w:lvl w:ilvl="7" w:tplc="04090019" w:tentative="1">
      <w:start w:val="1"/>
      <w:numFmt w:val="lowerLetter"/>
      <w:lvlText w:val="%8)"/>
      <w:lvlJc w:val="left"/>
      <w:pPr>
        <w:ind w:left="3787" w:hanging="420"/>
      </w:pPr>
    </w:lvl>
    <w:lvl w:ilvl="8" w:tplc="0409001B" w:tentative="1">
      <w:start w:val="1"/>
      <w:numFmt w:val="lowerRoman"/>
      <w:lvlText w:val="%9."/>
      <w:lvlJc w:val="right"/>
      <w:pPr>
        <w:ind w:left="4207" w:hanging="420"/>
      </w:pPr>
    </w:lvl>
  </w:abstractNum>
  <w:abstractNum w:abstractNumId="1">
    <w:nsid w:val="0B24058B"/>
    <w:multiLevelType w:val="hybridMultilevel"/>
    <w:tmpl w:val="996E758E"/>
    <w:lvl w:ilvl="0" w:tplc="EADC8C96">
      <w:start w:val="1"/>
      <w:numFmt w:val="decimal"/>
      <w:lvlText w:val="%1、"/>
      <w:lvlJc w:val="left"/>
      <w:pPr>
        <w:ind w:left="975" w:hanging="4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nsid w:val="0CC51AA2"/>
    <w:multiLevelType w:val="hybridMultilevel"/>
    <w:tmpl w:val="44FCF64A"/>
    <w:lvl w:ilvl="0" w:tplc="CD74900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D2E4AA8"/>
    <w:multiLevelType w:val="hybridMultilevel"/>
    <w:tmpl w:val="624452DE"/>
    <w:lvl w:ilvl="0" w:tplc="8116869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119B12B7"/>
    <w:multiLevelType w:val="hybridMultilevel"/>
    <w:tmpl w:val="E26E1A24"/>
    <w:lvl w:ilvl="0" w:tplc="CD7490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C43645"/>
    <w:multiLevelType w:val="hybridMultilevel"/>
    <w:tmpl w:val="620CE1FC"/>
    <w:lvl w:ilvl="0" w:tplc="3C46C5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3C46C550">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A01045"/>
    <w:multiLevelType w:val="hybridMultilevel"/>
    <w:tmpl w:val="002CE988"/>
    <w:lvl w:ilvl="0" w:tplc="7C32FA96">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7">
    <w:nsid w:val="15EC20BF"/>
    <w:multiLevelType w:val="hybridMultilevel"/>
    <w:tmpl w:val="35C8A174"/>
    <w:lvl w:ilvl="0" w:tplc="C534CE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6944F51"/>
    <w:multiLevelType w:val="hybridMultilevel"/>
    <w:tmpl w:val="3FF89042"/>
    <w:lvl w:ilvl="0" w:tplc="3C46C5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72355E9"/>
    <w:multiLevelType w:val="hybridMultilevel"/>
    <w:tmpl w:val="514AE682"/>
    <w:lvl w:ilvl="0" w:tplc="D26C2C5C">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0">
    <w:nsid w:val="1A683274"/>
    <w:multiLevelType w:val="hybridMultilevel"/>
    <w:tmpl w:val="A70E45F8"/>
    <w:lvl w:ilvl="0" w:tplc="CD74900A">
      <w:start w:val="1"/>
      <w:numFmt w:val="decimal"/>
      <w:lvlText w:val="（%1）"/>
      <w:lvlJc w:val="left"/>
      <w:pPr>
        <w:ind w:left="844" w:hanging="420"/>
      </w:pPr>
      <w:rPr>
        <w:rFonts w:hint="eastAsia"/>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1B2C1DBE"/>
    <w:multiLevelType w:val="hybridMultilevel"/>
    <w:tmpl w:val="542ED202"/>
    <w:lvl w:ilvl="0" w:tplc="CD7490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D893D19"/>
    <w:multiLevelType w:val="hybridMultilevel"/>
    <w:tmpl w:val="5ADC36E8"/>
    <w:lvl w:ilvl="0" w:tplc="EADC8C96">
      <w:start w:val="1"/>
      <w:numFmt w:val="decimal"/>
      <w:lvlText w:val="%1、"/>
      <w:lvlJc w:val="left"/>
      <w:pPr>
        <w:ind w:left="975" w:hanging="4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3">
    <w:nsid w:val="1F3C766C"/>
    <w:multiLevelType w:val="hybridMultilevel"/>
    <w:tmpl w:val="864EF70E"/>
    <w:lvl w:ilvl="0" w:tplc="9EFEE868">
      <w:start w:val="1"/>
      <w:numFmt w:val="decimalEnclosedCircle"/>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
    <w:nsid w:val="204818A2"/>
    <w:multiLevelType w:val="hybridMultilevel"/>
    <w:tmpl w:val="A64E9A8C"/>
    <w:lvl w:ilvl="0" w:tplc="1EC4C06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24921E67"/>
    <w:multiLevelType w:val="hybridMultilevel"/>
    <w:tmpl w:val="0E3A3A54"/>
    <w:lvl w:ilvl="0" w:tplc="3C46C550">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26E42CE6"/>
    <w:multiLevelType w:val="hybridMultilevel"/>
    <w:tmpl w:val="845653C4"/>
    <w:lvl w:ilvl="0" w:tplc="3C46C5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7F80AEC"/>
    <w:multiLevelType w:val="hybridMultilevel"/>
    <w:tmpl w:val="E26E1A24"/>
    <w:lvl w:ilvl="0" w:tplc="CD7490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A74644B"/>
    <w:multiLevelType w:val="hybridMultilevel"/>
    <w:tmpl w:val="E8D010C8"/>
    <w:lvl w:ilvl="0" w:tplc="9C02A5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D2C3792"/>
    <w:multiLevelType w:val="hybridMultilevel"/>
    <w:tmpl w:val="55C280E4"/>
    <w:lvl w:ilvl="0" w:tplc="721AAECC">
      <w:start w:val="1"/>
      <w:numFmt w:val="decimalEnclosedCircle"/>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nsid w:val="30F14005"/>
    <w:multiLevelType w:val="hybridMultilevel"/>
    <w:tmpl w:val="9AC4D83A"/>
    <w:lvl w:ilvl="0" w:tplc="56929500">
      <w:start w:val="2"/>
      <w:numFmt w:val="japaneseCounting"/>
      <w:lvlText w:val="（%1）"/>
      <w:lvlJc w:val="left"/>
      <w:pPr>
        <w:ind w:left="1867" w:hanging="1080"/>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21">
    <w:nsid w:val="31B34CE7"/>
    <w:multiLevelType w:val="hybridMultilevel"/>
    <w:tmpl w:val="4178F430"/>
    <w:lvl w:ilvl="0" w:tplc="45C4D2D8">
      <w:start w:val="1"/>
      <w:numFmt w:val="decimal"/>
      <w:lvlText w:val="%1、"/>
      <w:lvlJc w:val="left"/>
      <w:pPr>
        <w:ind w:left="720" w:hanging="720"/>
      </w:pPr>
      <w:rPr>
        <w:rFonts w:asciiTheme="minorHAnsi" w:eastAsiaTheme="minorEastAsia" w:hAnsiTheme="minorHAnsi"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90B1C9B"/>
    <w:multiLevelType w:val="hybridMultilevel"/>
    <w:tmpl w:val="543E3E64"/>
    <w:lvl w:ilvl="0" w:tplc="1BFAB97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nsid w:val="403B465A"/>
    <w:multiLevelType w:val="hybridMultilevel"/>
    <w:tmpl w:val="CC10F9B0"/>
    <w:lvl w:ilvl="0" w:tplc="C0FCF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04B4BA1"/>
    <w:multiLevelType w:val="hybridMultilevel"/>
    <w:tmpl w:val="7FF4421E"/>
    <w:lvl w:ilvl="0" w:tplc="F6A246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77D4C32"/>
    <w:multiLevelType w:val="hybridMultilevel"/>
    <w:tmpl w:val="84CE6710"/>
    <w:lvl w:ilvl="0" w:tplc="E9A60AB8">
      <w:start w:val="1"/>
      <w:numFmt w:val="decimalEnclosedCircle"/>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nsid w:val="47CC2C85"/>
    <w:multiLevelType w:val="hybridMultilevel"/>
    <w:tmpl w:val="42A4DF98"/>
    <w:lvl w:ilvl="0" w:tplc="CD74900A">
      <w:start w:val="1"/>
      <w:numFmt w:val="decimal"/>
      <w:lvlText w:val="（%1）"/>
      <w:lvlJc w:val="left"/>
      <w:pPr>
        <w:ind w:left="847" w:hanging="420"/>
      </w:pPr>
      <w:rPr>
        <w:rFonts w:hint="eastAsia"/>
      </w:rPr>
    </w:lvl>
    <w:lvl w:ilvl="1" w:tplc="04090019" w:tentative="1">
      <w:start w:val="1"/>
      <w:numFmt w:val="lowerLetter"/>
      <w:lvlText w:val="%2)"/>
      <w:lvlJc w:val="left"/>
      <w:pPr>
        <w:ind w:left="1267" w:hanging="420"/>
      </w:pPr>
    </w:lvl>
    <w:lvl w:ilvl="2" w:tplc="0409001B" w:tentative="1">
      <w:start w:val="1"/>
      <w:numFmt w:val="lowerRoman"/>
      <w:lvlText w:val="%3."/>
      <w:lvlJc w:val="right"/>
      <w:pPr>
        <w:ind w:left="1687" w:hanging="420"/>
      </w:pPr>
    </w:lvl>
    <w:lvl w:ilvl="3" w:tplc="0409000F" w:tentative="1">
      <w:start w:val="1"/>
      <w:numFmt w:val="decimal"/>
      <w:lvlText w:val="%4."/>
      <w:lvlJc w:val="left"/>
      <w:pPr>
        <w:ind w:left="2107" w:hanging="420"/>
      </w:pPr>
    </w:lvl>
    <w:lvl w:ilvl="4" w:tplc="04090019" w:tentative="1">
      <w:start w:val="1"/>
      <w:numFmt w:val="lowerLetter"/>
      <w:lvlText w:val="%5)"/>
      <w:lvlJc w:val="left"/>
      <w:pPr>
        <w:ind w:left="2527" w:hanging="420"/>
      </w:pPr>
    </w:lvl>
    <w:lvl w:ilvl="5" w:tplc="0409001B" w:tentative="1">
      <w:start w:val="1"/>
      <w:numFmt w:val="lowerRoman"/>
      <w:lvlText w:val="%6."/>
      <w:lvlJc w:val="right"/>
      <w:pPr>
        <w:ind w:left="2947" w:hanging="420"/>
      </w:pPr>
    </w:lvl>
    <w:lvl w:ilvl="6" w:tplc="0409000F" w:tentative="1">
      <w:start w:val="1"/>
      <w:numFmt w:val="decimal"/>
      <w:lvlText w:val="%7."/>
      <w:lvlJc w:val="left"/>
      <w:pPr>
        <w:ind w:left="3367" w:hanging="420"/>
      </w:pPr>
    </w:lvl>
    <w:lvl w:ilvl="7" w:tplc="04090019" w:tentative="1">
      <w:start w:val="1"/>
      <w:numFmt w:val="lowerLetter"/>
      <w:lvlText w:val="%8)"/>
      <w:lvlJc w:val="left"/>
      <w:pPr>
        <w:ind w:left="3787" w:hanging="420"/>
      </w:pPr>
    </w:lvl>
    <w:lvl w:ilvl="8" w:tplc="0409001B" w:tentative="1">
      <w:start w:val="1"/>
      <w:numFmt w:val="lowerRoman"/>
      <w:lvlText w:val="%9."/>
      <w:lvlJc w:val="right"/>
      <w:pPr>
        <w:ind w:left="4207" w:hanging="420"/>
      </w:pPr>
    </w:lvl>
  </w:abstractNum>
  <w:abstractNum w:abstractNumId="27">
    <w:nsid w:val="4D225FD3"/>
    <w:multiLevelType w:val="hybridMultilevel"/>
    <w:tmpl w:val="6CD22652"/>
    <w:lvl w:ilvl="0" w:tplc="8CE2437E">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1B84175"/>
    <w:multiLevelType w:val="hybridMultilevel"/>
    <w:tmpl w:val="76FE751C"/>
    <w:lvl w:ilvl="0" w:tplc="EAA2D4C0">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9">
    <w:nsid w:val="535E1177"/>
    <w:multiLevelType w:val="hybridMultilevel"/>
    <w:tmpl w:val="64568CEC"/>
    <w:lvl w:ilvl="0" w:tplc="6142BC40">
      <w:start w:val="1"/>
      <w:numFmt w:val="decimal"/>
      <w:lvlText w:val="%1、"/>
      <w:lvlJc w:val="left"/>
      <w:pPr>
        <w:ind w:left="1146" w:hanging="720"/>
      </w:pPr>
      <w:rPr>
        <w:rFonts w:hint="default"/>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nsid w:val="56BB0A28"/>
    <w:multiLevelType w:val="hybridMultilevel"/>
    <w:tmpl w:val="1E109402"/>
    <w:lvl w:ilvl="0" w:tplc="2AA8D348">
      <w:start w:val="1"/>
      <w:numFmt w:val="decimalEnclosedCircle"/>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1">
    <w:nsid w:val="5F020EF5"/>
    <w:multiLevelType w:val="hybridMultilevel"/>
    <w:tmpl w:val="55C280E4"/>
    <w:lvl w:ilvl="0" w:tplc="721AAECC">
      <w:start w:val="1"/>
      <w:numFmt w:val="decimalEnclosedCircle"/>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
    <w:nsid w:val="5F6F6C13"/>
    <w:multiLevelType w:val="hybridMultilevel"/>
    <w:tmpl w:val="C282961E"/>
    <w:lvl w:ilvl="0" w:tplc="CD74900A">
      <w:start w:val="1"/>
      <w:numFmt w:val="decimal"/>
      <w:lvlText w:val="（%1）"/>
      <w:lvlJc w:val="left"/>
      <w:pPr>
        <w:ind w:left="562"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3">
    <w:nsid w:val="5FAD4184"/>
    <w:multiLevelType w:val="hybridMultilevel"/>
    <w:tmpl w:val="A98E3120"/>
    <w:lvl w:ilvl="0" w:tplc="515A5746">
      <w:start w:val="1"/>
      <w:numFmt w:val="decimal"/>
      <w:lvlText w:val="（%1）"/>
      <w:lvlJc w:val="left"/>
      <w:pPr>
        <w:ind w:left="1288"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4">
    <w:nsid w:val="611A660B"/>
    <w:multiLevelType w:val="hybridMultilevel"/>
    <w:tmpl w:val="00BEF3AC"/>
    <w:lvl w:ilvl="0" w:tplc="163E876E">
      <w:start w:val="1"/>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5">
    <w:nsid w:val="6A383402"/>
    <w:multiLevelType w:val="hybridMultilevel"/>
    <w:tmpl w:val="741A84FC"/>
    <w:lvl w:ilvl="0" w:tplc="6A662A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39900D1"/>
    <w:multiLevelType w:val="hybridMultilevel"/>
    <w:tmpl w:val="CF047A0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7">
    <w:nsid w:val="7A364C64"/>
    <w:multiLevelType w:val="hybridMultilevel"/>
    <w:tmpl w:val="C3504614"/>
    <w:lvl w:ilvl="0" w:tplc="3C46C550">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8">
    <w:nsid w:val="7B663BF0"/>
    <w:multiLevelType w:val="hybridMultilevel"/>
    <w:tmpl w:val="65D06ED8"/>
    <w:lvl w:ilvl="0" w:tplc="C2D88464">
      <w:start w:val="1"/>
      <w:numFmt w:val="lowerLetter"/>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9">
    <w:nsid w:val="7F134EC6"/>
    <w:multiLevelType w:val="hybridMultilevel"/>
    <w:tmpl w:val="44B08412"/>
    <w:lvl w:ilvl="0" w:tplc="3C46C5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2"/>
  </w:num>
  <w:num w:numId="3">
    <w:abstractNumId w:val="6"/>
  </w:num>
  <w:num w:numId="4">
    <w:abstractNumId w:val="1"/>
  </w:num>
  <w:num w:numId="5">
    <w:abstractNumId w:val="3"/>
  </w:num>
  <w:num w:numId="6">
    <w:abstractNumId w:val="13"/>
  </w:num>
  <w:num w:numId="7">
    <w:abstractNumId w:val="34"/>
  </w:num>
  <w:num w:numId="8">
    <w:abstractNumId w:val="33"/>
  </w:num>
  <w:num w:numId="9">
    <w:abstractNumId w:val="30"/>
  </w:num>
  <w:num w:numId="10">
    <w:abstractNumId w:val="28"/>
  </w:num>
  <w:num w:numId="11">
    <w:abstractNumId w:val="23"/>
  </w:num>
  <w:num w:numId="12">
    <w:abstractNumId w:val="10"/>
  </w:num>
  <w:num w:numId="13">
    <w:abstractNumId w:val="27"/>
  </w:num>
  <w:num w:numId="14">
    <w:abstractNumId w:val="39"/>
  </w:num>
  <w:num w:numId="15">
    <w:abstractNumId w:val="8"/>
  </w:num>
  <w:num w:numId="16">
    <w:abstractNumId w:val="16"/>
  </w:num>
  <w:num w:numId="17">
    <w:abstractNumId w:val="5"/>
  </w:num>
  <w:num w:numId="18">
    <w:abstractNumId w:val="15"/>
  </w:num>
  <w:num w:numId="19">
    <w:abstractNumId w:val="2"/>
  </w:num>
  <w:num w:numId="20">
    <w:abstractNumId w:val="36"/>
  </w:num>
  <w:num w:numId="21">
    <w:abstractNumId w:val="37"/>
  </w:num>
  <w:num w:numId="22">
    <w:abstractNumId w:val="22"/>
  </w:num>
  <w:num w:numId="23">
    <w:abstractNumId w:val="21"/>
  </w:num>
  <w:num w:numId="24">
    <w:abstractNumId w:val="35"/>
  </w:num>
  <w:num w:numId="25">
    <w:abstractNumId w:val="18"/>
  </w:num>
  <w:num w:numId="26">
    <w:abstractNumId w:val="11"/>
  </w:num>
  <w:num w:numId="27">
    <w:abstractNumId w:val="24"/>
  </w:num>
  <w:num w:numId="28">
    <w:abstractNumId w:val="32"/>
  </w:num>
  <w:num w:numId="29">
    <w:abstractNumId w:val="4"/>
  </w:num>
  <w:num w:numId="30">
    <w:abstractNumId w:val="26"/>
  </w:num>
  <w:num w:numId="31">
    <w:abstractNumId w:val="19"/>
  </w:num>
  <w:num w:numId="32">
    <w:abstractNumId w:val="31"/>
  </w:num>
  <w:num w:numId="33">
    <w:abstractNumId w:val="17"/>
  </w:num>
  <w:num w:numId="34">
    <w:abstractNumId w:val="0"/>
  </w:num>
  <w:num w:numId="35">
    <w:abstractNumId w:val="29"/>
  </w:num>
  <w:num w:numId="36">
    <w:abstractNumId w:val="25"/>
  </w:num>
  <w:num w:numId="37">
    <w:abstractNumId w:val="38"/>
  </w:num>
  <w:num w:numId="38">
    <w:abstractNumId w:val="7"/>
  </w:num>
  <w:num w:numId="39">
    <w:abstractNumId w:val="1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D7"/>
    <w:rsid w:val="00011B09"/>
    <w:rsid w:val="00013463"/>
    <w:rsid w:val="0002401F"/>
    <w:rsid w:val="00024CFE"/>
    <w:rsid w:val="00035F3D"/>
    <w:rsid w:val="00040EB3"/>
    <w:rsid w:val="00044FF4"/>
    <w:rsid w:val="00067082"/>
    <w:rsid w:val="00085343"/>
    <w:rsid w:val="000901B2"/>
    <w:rsid w:val="00094674"/>
    <w:rsid w:val="000A1D58"/>
    <w:rsid w:val="000B28F9"/>
    <w:rsid w:val="000B7BF3"/>
    <w:rsid w:val="000C2D52"/>
    <w:rsid w:val="000C5A1B"/>
    <w:rsid w:val="000D1665"/>
    <w:rsid w:val="000E6E20"/>
    <w:rsid w:val="001116CA"/>
    <w:rsid w:val="00122FCD"/>
    <w:rsid w:val="00123F1E"/>
    <w:rsid w:val="00131029"/>
    <w:rsid w:val="001336B9"/>
    <w:rsid w:val="00137284"/>
    <w:rsid w:val="001405D3"/>
    <w:rsid w:val="00141F79"/>
    <w:rsid w:val="00145352"/>
    <w:rsid w:val="00171695"/>
    <w:rsid w:val="00173BB7"/>
    <w:rsid w:val="001740D9"/>
    <w:rsid w:val="00181F60"/>
    <w:rsid w:val="00186FC5"/>
    <w:rsid w:val="00187560"/>
    <w:rsid w:val="001933CC"/>
    <w:rsid w:val="001943CE"/>
    <w:rsid w:val="0019589D"/>
    <w:rsid w:val="001B3506"/>
    <w:rsid w:val="001B467A"/>
    <w:rsid w:val="001B72BE"/>
    <w:rsid w:val="001C25DC"/>
    <w:rsid w:val="001C499A"/>
    <w:rsid w:val="001D700C"/>
    <w:rsid w:val="001E02E9"/>
    <w:rsid w:val="001E5CD3"/>
    <w:rsid w:val="001E7312"/>
    <w:rsid w:val="001F4467"/>
    <w:rsid w:val="0021215D"/>
    <w:rsid w:val="00213901"/>
    <w:rsid w:val="00215F9A"/>
    <w:rsid w:val="00216798"/>
    <w:rsid w:val="00225FF6"/>
    <w:rsid w:val="002375CD"/>
    <w:rsid w:val="00251855"/>
    <w:rsid w:val="00281C68"/>
    <w:rsid w:val="0028317F"/>
    <w:rsid w:val="0029134E"/>
    <w:rsid w:val="00292960"/>
    <w:rsid w:val="002952D1"/>
    <w:rsid w:val="00295CE7"/>
    <w:rsid w:val="00296AED"/>
    <w:rsid w:val="002F54C2"/>
    <w:rsid w:val="00303AFF"/>
    <w:rsid w:val="003070C7"/>
    <w:rsid w:val="00311183"/>
    <w:rsid w:val="00316107"/>
    <w:rsid w:val="00323560"/>
    <w:rsid w:val="003265DC"/>
    <w:rsid w:val="00342A90"/>
    <w:rsid w:val="00343278"/>
    <w:rsid w:val="00345E1D"/>
    <w:rsid w:val="00365963"/>
    <w:rsid w:val="00370E10"/>
    <w:rsid w:val="003765D5"/>
    <w:rsid w:val="00380FB4"/>
    <w:rsid w:val="003B16DB"/>
    <w:rsid w:val="003B6681"/>
    <w:rsid w:val="003C0375"/>
    <w:rsid w:val="003C5070"/>
    <w:rsid w:val="003C7DE9"/>
    <w:rsid w:val="003D1BF5"/>
    <w:rsid w:val="003D3408"/>
    <w:rsid w:val="003D386B"/>
    <w:rsid w:val="003E3115"/>
    <w:rsid w:val="003E6BF7"/>
    <w:rsid w:val="003F5C79"/>
    <w:rsid w:val="00421500"/>
    <w:rsid w:val="00421970"/>
    <w:rsid w:val="00422B34"/>
    <w:rsid w:val="00436AFC"/>
    <w:rsid w:val="00437E37"/>
    <w:rsid w:val="00437F6F"/>
    <w:rsid w:val="0044317D"/>
    <w:rsid w:val="00446FFF"/>
    <w:rsid w:val="00466EC5"/>
    <w:rsid w:val="00493658"/>
    <w:rsid w:val="004A4252"/>
    <w:rsid w:val="004B64EA"/>
    <w:rsid w:val="004B7A41"/>
    <w:rsid w:val="004C77BC"/>
    <w:rsid w:val="004D2982"/>
    <w:rsid w:val="004E46E0"/>
    <w:rsid w:val="004F1FE3"/>
    <w:rsid w:val="004F6369"/>
    <w:rsid w:val="005047C5"/>
    <w:rsid w:val="005171C8"/>
    <w:rsid w:val="00530F91"/>
    <w:rsid w:val="00533544"/>
    <w:rsid w:val="00542EA3"/>
    <w:rsid w:val="0055796E"/>
    <w:rsid w:val="00565940"/>
    <w:rsid w:val="00574FB3"/>
    <w:rsid w:val="00577DB2"/>
    <w:rsid w:val="00583400"/>
    <w:rsid w:val="00583EB9"/>
    <w:rsid w:val="005A0A0B"/>
    <w:rsid w:val="005B153B"/>
    <w:rsid w:val="005B3D8D"/>
    <w:rsid w:val="005D11C4"/>
    <w:rsid w:val="005E4940"/>
    <w:rsid w:val="005F16C4"/>
    <w:rsid w:val="005F4803"/>
    <w:rsid w:val="005F4D2F"/>
    <w:rsid w:val="0060253A"/>
    <w:rsid w:val="00607F51"/>
    <w:rsid w:val="00615AF3"/>
    <w:rsid w:val="00623C35"/>
    <w:rsid w:val="00631F13"/>
    <w:rsid w:val="006360B6"/>
    <w:rsid w:val="00644669"/>
    <w:rsid w:val="0065197C"/>
    <w:rsid w:val="006567EE"/>
    <w:rsid w:val="00664E6A"/>
    <w:rsid w:val="0067337B"/>
    <w:rsid w:val="00673397"/>
    <w:rsid w:val="006768DC"/>
    <w:rsid w:val="00676A33"/>
    <w:rsid w:val="006A6A4E"/>
    <w:rsid w:val="006B530C"/>
    <w:rsid w:val="006D1159"/>
    <w:rsid w:val="006E03CD"/>
    <w:rsid w:val="006E62C2"/>
    <w:rsid w:val="006E7661"/>
    <w:rsid w:val="00720BF7"/>
    <w:rsid w:val="00723412"/>
    <w:rsid w:val="00724721"/>
    <w:rsid w:val="00726C62"/>
    <w:rsid w:val="00730FE5"/>
    <w:rsid w:val="007424E5"/>
    <w:rsid w:val="00751A6C"/>
    <w:rsid w:val="00765304"/>
    <w:rsid w:val="00766541"/>
    <w:rsid w:val="00771C48"/>
    <w:rsid w:val="00774839"/>
    <w:rsid w:val="00774DE8"/>
    <w:rsid w:val="00780E57"/>
    <w:rsid w:val="00786152"/>
    <w:rsid w:val="00786AC5"/>
    <w:rsid w:val="00790F6A"/>
    <w:rsid w:val="00792084"/>
    <w:rsid w:val="00794A49"/>
    <w:rsid w:val="007957D5"/>
    <w:rsid w:val="007A2550"/>
    <w:rsid w:val="007B1108"/>
    <w:rsid w:val="007B4B8D"/>
    <w:rsid w:val="007C36B0"/>
    <w:rsid w:val="007D62DF"/>
    <w:rsid w:val="007E4A92"/>
    <w:rsid w:val="00815591"/>
    <w:rsid w:val="00816969"/>
    <w:rsid w:val="00825698"/>
    <w:rsid w:val="008301F3"/>
    <w:rsid w:val="00855BA4"/>
    <w:rsid w:val="00884CE9"/>
    <w:rsid w:val="00885468"/>
    <w:rsid w:val="00892FB5"/>
    <w:rsid w:val="00893277"/>
    <w:rsid w:val="008B09FF"/>
    <w:rsid w:val="008B0FA4"/>
    <w:rsid w:val="008C121E"/>
    <w:rsid w:val="008C412D"/>
    <w:rsid w:val="008C7176"/>
    <w:rsid w:val="008C7250"/>
    <w:rsid w:val="008D1BC6"/>
    <w:rsid w:val="008E51DF"/>
    <w:rsid w:val="008F6025"/>
    <w:rsid w:val="008F77E1"/>
    <w:rsid w:val="0090167A"/>
    <w:rsid w:val="00910B2D"/>
    <w:rsid w:val="009150F8"/>
    <w:rsid w:val="009311E2"/>
    <w:rsid w:val="0095073F"/>
    <w:rsid w:val="00976539"/>
    <w:rsid w:val="009942D9"/>
    <w:rsid w:val="009B2067"/>
    <w:rsid w:val="009B3122"/>
    <w:rsid w:val="009B32CC"/>
    <w:rsid w:val="009C3291"/>
    <w:rsid w:val="009C3D8F"/>
    <w:rsid w:val="009D0743"/>
    <w:rsid w:val="009F1214"/>
    <w:rsid w:val="009F4D22"/>
    <w:rsid w:val="00A116CA"/>
    <w:rsid w:val="00A20681"/>
    <w:rsid w:val="00A20D15"/>
    <w:rsid w:val="00A433CB"/>
    <w:rsid w:val="00A510A9"/>
    <w:rsid w:val="00A63F29"/>
    <w:rsid w:val="00A67211"/>
    <w:rsid w:val="00A678BC"/>
    <w:rsid w:val="00A821CB"/>
    <w:rsid w:val="00A907F2"/>
    <w:rsid w:val="00A91E21"/>
    <w:rsid w:val="00AB311C"/>
    <w:rsid w:val="00AB649F"/>
    <w:rsid w:val="00AC48C5"/>
    <w:rsid w:val="00AC4E91"/>
    <w:rsid w:val="00AD3848"/>
    <w:rsid w:val="00AF35B0"/>
    <w:rsid w:val="00AF55F8"/>
    <w:rsid w:val="00B02AFC"/>
    <w:rsid w:val="00B14FCD"/>
    <w:rsid w:val="00B2300A"/>
    <w:rsid w:val="00B5150E"/>
    <w:rsid w:val="00B551DF"/>
    <w:rsid w:val="00B6248C"/>
    <w:rsid w:val="00B7027B"/>
    <w:rsid w:val="00B74AAD"/>
    <w:rsid w:val="00B74D5F"/>
    <w:rsid w:val="00B75527"/>
    <w:rsid w:val="00B77245"/>
    <w:rsid w:val="00B80DC7"/>
    <w:rsid w:val="00BA492F"/>
    <w:rsid w:val="00BB198D"/>
    <w:rsid w:val="00BB57AF"/>
    <w:rsid w:val="00BC18C9"/>
    <w:rsid w:val="00BE1D67"/>
    <w:rsid w:val="00BE22AF"/>
    <w:rsid w:val="00BE2BF6"/>
    <w:rsid w:val="00BE4065"/>
    <w:rsid w:val="00C204A1"/>
    <w:rsid w:val="00C23AB3"/>
    <w:rsid w:val="00C24684"/>
    <w:rsid w:val="00C24BA1"/>
    <w:rsid w:val="00C32FD2"/>
    <w:rsid w:val="00C3768B"/>
    <w:rsid w:val="00C43F4D"/>
    <w:rsid w:val="00C53CB6"/>
    <w:rsid w:val="00C616A4"/>
    <w:rsid w:val="00C64A88"/>
    <w:rsid w:val="00C660B7"/>
    <w:rsid w:val="00C757A9"/>
    <w:rsid w:val="00C77D26"/>
    <w:rsid w:val="00C81F5A"/>
    <w:rsid w:val="00CA7E5E"/>
    <w:rsid w:val="00CD16F3"/>
    <w:rsid w:val="00CD3F06"/>
    <w:rsid w:val="00CE0CD6"/>
    <w:rsid w:val="00CF6309"/>
    <w:rsid w:val="00D01426"/>
    <w:rsid w:val="00D03C20"/>
    <w:rsid w:val="00D10312"/>
    <w:rsid w:val="00D10AA1"/>
    <w:rsid w:val="00D21D10"/>
    <w:rsid w:val="00D2574E"/>
    <w:rsid w:val="00D31133"/>
    <w:rsid w:val="00D4221B"/>
    <w:rsid w:val="00D55DA2"/>
    <w:rsid w:val="00D62C17"/>
    <w:rsid w:val="00D67BCE"/>
    <w:rsid w:val="00D70B48"/>
    <w:rsid w:val="00D715F5"/>
    <w:rsid w:val="00D7614E"/>
    <w:rsid w:val="00D90A34"/>
    <w:rsid w:val="00D91786"/>
    <w:rsid w:val="00D95674"/>
    <w:rsid w:val="00DB5881"/>
    <w:rsid w:val="00DC27DD"/>
    <w:rsid w:val="00DE4B0E"/>
    <w:rsid w:val="00DE4E3C"/>
    <w:rsid w:val="00DE5753"/>
    <w:rsid w:val="00DF58DB"/>
    <w:rsid w:val="00E05D80"/>
    <w:rsid w:val="00E06695"/>
    <w:rsid w:val="00E07A91"/>
    <w:rsid w:val="00E12E11"/>
    <w:rsid w:val="00E1689F"/>
    <w:rsid w:val="00E249B9"/>
    <w:rsid w:val="00E30959"/>
    <w:rsid w:val="00E41146"/>
    <w:rsid w:val="00E6706D"/>
    <w:rsid w:val="00E709A5"/>
    <w:rsid w:val="00E73953"/>
    <w:rsid w:val="00E74621"/>
    <w:rsid w:val="00E95544"/>
    <w:rsid w:val="00E9653C"/>
    <w:rsid w:val="00EA36B7"/>
    <w:rsid w:val="00EB1CDF"/>
    <w:rsid w:val="00EB4DA2"/>
    <w:rsid w:val="00EC15B3"/>
    <w:rsid w:val="00ED03F9"/>
    <w:rsid w:val="00ED2886"/>
    <w:rsid w:val="00EE2AF9"/>
    <w:rsid w:val="00EE50F1"/>
    <w:rsid w:val="00EF4CEF"/>
    <w:rsid w:val="00F05306"/>
    <w:rsid w:val="00F06884"/>
    <w:rsid w:val="00F11BD7"/>
    <w:rsid w:val="00F12326"/>
    <w:rsid w:val="00F15F68"/>
    <w:rsid w:val="00F16D20"/>
    <w:rsid w:val="00F370EB"/>
    <w:rsid w:val="00F45276"/>
    <w:rsid w:val="00F47D68"/>
    <w:rsid w:val="00F52878"/>
    <w:rsid w:val="00F6508C"/>
    <w:rsid w:val="00F7087C"/>
    <w:rsid w:val="00F723F5"/>
    <w:rsid w:val="00F72D38"/>
    <w:rsid w:val="00F73AE6"/>
    <w:rsid w:val="00F801BD"/>
    <w:rsid w:val="00F93DCC"/>
    <w:rsid w:val="00F93E4C"/>
    <w:rsid w:val="00F95739"/>
    <w:rsid w:val="00FA280C"/>
    <w:rsid w:val="00FA450C"/>
    <w:rsid w:val="00FA46DA"/>
    <w:rsid w:val="00FB014A"/>
    <w:rsid w:val="00FC03D2"/>
    <w:rsid w:val="00FC5E6A"/>
    <w:rsid w:val="00FD1AD7"/>
    <w:rsid w:val="00FD65C1"/>
    <w:rsid w:val="00FE0206"/>
    <w:rsid w:val="00FE6844"/>
    <w:rsid w:val="00FF6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FCD61"/>
  <w15:docId w15:val="{3DDEC026-B220-427B-A25E-E3E6C3C3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BD7"/>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11BD7"/>
    <w:pPr>
      <w:tabs>
        <w:tab w:val="center" w:pos="4153"/>
        <w:tab w:val="right" w:pos="8306"/>
      </w:tabs>
      <w:snapToGrid w:val="0"/>
      <w:jc w:val="left"/>
    </w:pPr>
    <w:rPr>
      <w:sz w:val="18"/>
      <w:szCs w:val="18"/>
    </w:rPr>
  </w:style>
  <w:style w:type="character" w:customStyle="1" w:styleId="Char">
    <w:name w:val="页脚 Char"/>
    <w:basedOn w:val="a0"/>
    <w:link w:val="a3"/>
    <w:uiPriority w:val="99"/>
    <w:rsid w:val="00F11BD7"/>
    <w:rPr>
      <w:rFonts w:ascii="Times New Roman" w:eastAsia="宋体" w:hAnsi="Times New Roman" w:cs="Times New Roman"/>
      <w:sz w:val="18"/>
      <w:szCs w:val="18"/>
    </w:rPr>
  </w:style>
  <w:style w:type="character" w:styleId="a4">
    <w:name w:val="page number"/>
    <w:basedOn w:val="a0"/>
    <w:uiPriority w:val="99"/>
    <w:semiHidden/>
    <w:unhideWhenUsed/>
    <w:rsid w:val="00F11BD7"/>
  </w:style>
  <w:style w:type="paragraph" w:styleId="a5">
    <w:name w:val="header"/>
    <w:basedOn w:val="a"/>
    <w:link w:val="Char0"/>
    <w:uiPriority w:val="99"/>
    <w:unhideWhenUsed/>
    <w:rsid w:val="00EA36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A36B7"/>
    <w:rPr>
      <w:rFonts w:ascii="Times New Roman" w:eastAsia="宋体" w:hAnsi="Times New Roman" w:cs="Times New Roman"/>
      <w:sz w:val="18"/>
      <w:szCs w:val="18"/>
    </w:rPr>
  </w:style>
  <w:style w:type="paragraph" w:styleId="a6">
    <w:name w:val="Balloon Text"/>
    <w:basedOn w:val="a"/>
    <w:link w:val="Char1"/>
    <w:uiPriority w:val="99"/>
    <w:semiHidden/>
    <w:unhideWhenUsed/>
    <w:rsid w:val="00EA36B7"/>
    <w:rPr>
      <w:sz w:val="18"/>
      <w:szCs w:val="18"/>
    </w:rPr>
  </w:style>
  <w:style w:type="character" w:customStyle="1" w:styleId="Char1">
    <w:name w:val="批注框文本 Char"/>
    <w:basedOn w:val="a0"/>
    <w:link w:val="a6"/>
    <w:uiPriority w:val="99"/>
    <w:semiHidden/>
    <w:rsid w:val="00EA36B7"/>
    <w:rPr>
      <w:rFonts w:ascii="Times New Roman" w:eastAsia="宋体" w:hAnsi="Times New Roman" w:cs="Times New Roman"/>
      <w:sz w:val="18"/>
      <w:szCs w:val="18"/>
    </w:rPr>
  </w:style>
  <w:style w:type="paragraph" w:styleId="a7">
    <w:name w:val="List Paragraph"/>
    <w:basedOn w:val="a"/>
    <w:uiPriority w:val="34"/>
    <w:qFormat/>
    <w:rsid w:val="001D700C"/>
    <w:pPr>
      <w:ind w:firstLineChars="200" w:firstLine="420"/>
    </w:pPr>
  </w:style>
  <w:style w:type="paragraph" w:styleId="a8">
    <w:name w:val="Date"/>
    <w:basedOn w:val="a"/>
    <w:next w:val="a"/>
    <w:link w:val="Char2"/>
    <w:uiPriority w:val="99"/>
    <w:semiHidden/>
    <w:unhideWhenUsed/>
    <w:rsid w:val="00D03C20"/>
    <w:pPr>
      <w:ind w:leftChars="2500" w:left="100"/>
    </w:pPr>
  </w:style>
  <w:style w:type="character" w:customStyle="1" w:styleId="Char2">
    <w:name w:val="日期 Char"/>
    <w:basedOn w:val="a0"/>
    <w:link w:val="a8"/>
    <w:uiPriority w:val="99"/>
    <w:semiHidden/>
    <w:rsid w:val="00D03C20"/>
    <w:rPr>
      <w:rFonts w:ascii="Times New Roman" w:eastAsia="宋体" w:hAnsi="Times New Roman" w:cs="Times New Roman"/>
      <w:sz w:val="21"/>
      <w:szCs w:val="20"/>
    </w:rPr>
  </w:style>
  <w:style w:type="table" w:styleId="a9">
    <w:name w:val="Table Grid"/>
    <w:basedOn w:val="a1"/>
    <w:uiPriority w:val="39"/>
    <w:rsid w:val="00D03C2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D03C2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368D-A306-4287-BD1F-B5CA55B2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唐金晶</cp:lastModifiedBy>
  <cp:revision>3</cp:revision>
  <cp:lastPrinted>2016-07-11T01:27:00Z</cp:lastPrinted>
  <dcterms:created xsi:type="dcterms:W3CDTF">2016-07-11T02:20:00Z</dcterms:created>
  <dcterms:modified xsi:type="dcterms:W3CDTF">2016-07-11T02:23:00Z</dcterms:modified>
</cp:coreProperties>
</file>